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15.5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21.4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36.8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37.9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84.6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85.6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134.8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151.1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181.6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213.5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215.4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221.2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224.4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225.2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230.6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236.7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240.3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241.2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248.7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253.1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255.1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256.8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260.9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262.7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263.7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264.3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268.5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270.4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271.3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272.1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276.1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278.0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279.0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279.5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281.0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282.8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283.8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