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293.9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306.0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307.6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318.0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322.2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323.6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325.2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330.3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330.6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334.6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336.6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337.0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339.9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342.7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345.7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349.1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349.7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351.3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352.2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355.8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356.2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358.7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358.9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361.9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365.9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366.6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367.3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369.3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369.6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372.5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374.9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377.9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380.2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383.1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386.8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