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5.9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16.4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20.6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23.8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25.9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31.6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33.1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40.3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41.9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47.8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58.1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63.2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65.7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67.7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72.2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75.8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83.1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84.7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87.0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94.1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99.5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105.4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108.7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113.0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114.2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115.9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117.2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118.8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125.3</w:t>
            </w:r>
          </w:p>
        </w:tc>
        <w:tc>
          <w:tcPr>
            <w:tcW w:type="dxa" w:w="2160"/>
          </w:tcPr>
          <w:p>
            <w:r>
              <w:t>E/D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128.8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130.3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142.0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148.0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151.7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C#dim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164.0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172.1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179.5</w:t>
            </w:r>
          </w:p>
        </w:tc>
        <w:tc>
          <w:tcPr>
            <w:tcW w:type="dxa" w:w="2160"/>
          </w:tcPr>
          <w:p>
            <w:r>
              <w:t>Em6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E/D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185.8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196.2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197.6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199.0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204.9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206.1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210.5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212.1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214.5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215.3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